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48F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36"/>
          <w:szCs w:val="36"/>
          <w:lang w:val="en-US" w:eastAsia="zh-CN"/>
        </w:rPr>
      </w:pPr>
      <w:r>
        <w:rPr>
          <w:rFonts w:hint="eastAsia" w:hAnsi="宋体" w:eastAsia="宋体" w:cs="宋体"/>
          <w:b/>
          <w:sz w:val="36"/>
          <w:szCs w:val="36"/>
          <w:lang w:val="en-US" w:eastAsia="zh-CN"/>
        </w:rPr>
        <w:t>宏宇新材料CSP工序罗茨风机</w:t>
      </w:r>
      <w:r>
        <w:rPr>
          <w:rFonts w:hint="eastAsia" w:ascii="宋体" w:hAnsi="宋体" w:eastAsia="宋体" w:cs="宋体"/>
          <w:b/>
          <w:sz w:val="36"/>
          <w:szCs w:val="36"/>
          <w:lang w:eastAsia="zh-CN"/>
        </w:rPr>
        <w:t>技术规格书</w:t>
      </w:r>
    </w:p>
    <w:p w14:paraId="341785D7">
      <w:pPr>
        <w:snapToGrid w:val="0"/>
        <w:spacing w:line="240" w:lineRule="atLeast"/>
        <w:ind w:right="2" w:rightChars="1"/>
        <w:jc w:val="center"/>
        <w:rPr>
          <w:rFonts w:hint="eastAsia" w:ascii="宋体" w:hAnsi="宋体" w:eastAsia="宋体"/>
          <w:sz w:val="44"/>
          <w:szCs w:val="44"/>
          <w:lang w:eastAsia="zh-CN"/>
        </w:rPr>
      </w:pPr>
    </w:p>
    <w:p w14:paraId="4C8C7969">
      <w:pPr>
        <w:rPr>
          <w:rFonts w:hint="eastAsia" w:ascii="宋体" w:hAnsi="宋体"/>
          <w:b/>
          <w:bCs/>
          <w:sz w:val="32"/>
          <w:highlight w:val="none"/>
        </w:rPr>
      </w:pPr>
    </w:p>
    <w:p w14:paraId="0D51C882">
      <w:pPr>
        <w:rPr>
          <w:rFonts w:hint="eastAsia" w:ascii="宋体" w:hAnsi="宋体"/>
          <w:b/>
          <w:bCs/>
          <w:sz w:val="32"/>
          <w:highlight w:val="none"/>
        </w:rPr>
      </w:pPr>
    </w:p>
    <w:p w14:paraId="0CCDFF01">
      <w:pPr>
        <w:rPr>
          <w:rFonts w:hint="eastAsia" w:ascii="宋体" w:hAnsi="宋体"/>
          <w:b/>
          <w:bCs/>
          <w:sz w:val="32"/>
          <w:highlight w:val="none"/>
        </w:rPr>
      </w:pPr>
    </w:p>
    <w:p w14:paraId="13A385BC">
      <w:pPr>
        <w:rPr>
          <w:rFonts w:hint="eastAsia" w:ascii="宋体" w:hAnsi="宋体"/>
          <w:b/>
          <w:bCs/>
          <w:sz w:val="32"/>
          <w:highlight w:val="none"/>
        </w:rPr>
      </w:pPr>
    </w:p>
    <w:p w14:paraId="09DCF5EC">
      <w:pPr>
        <w:rPr>
          <w:rFonts w:hint="eastAsia" w:ascii="宋体" w:hAnsi="宋体"/>
          <w:b/>
          <w:bCs/>
          <w:sz w:val="32"/>
          <w:highlight w:val="none"/>
        </w:rPr>
      </w:pPr>
    </w:p>
    <w:p w14:paraId="3377B3A9">
      <w:pPr>
        <w:rPr>
          <w:rFonts w:hint="eastAsia" w:ascii="宋体" w:hAnsi="宋体"/>
          <w:b/>
          <w:bCs/>
          <w:sz w:val="32"/>
          <w:highlight w:val="none"/>
        </w:rPr>
      </w:pPr>
    </w:p>
    <w:p w14:paraId="62AEFF9A">
      <w:pPr>
        <w:rPr>
          <w:rFonts w:hint="eastAsia" w:ascii="宋体" w:hAnsi="宋体"/>
          <w:b/>
          <w:bCs/>
          <w:sz w:val="32"/>
          <w:highlight w:val="none"/>
        </w:rPr>
      </w:pPr>
    </w:p>
    <w:p w14:paraId="3DDD454E">
      <w:pPr>
        <w:rPr>
          <w:rFonts w:hint="eastAsia" w:ascii="宋体" w:hAnsi="宋体"/>
          <w:b/>
          <w:bCs/>
          <w:sz w:val="32"/>
          <w:highlight w:val="none"/>
        </w:rPr>
      </w:pPr>
    </w:p>
    <w:p w14:paraId="05F395F8">
      <w:pPr>
        <w:rPr>
          <w:rFonts w:hint="eastAsia" w:ascii="宋体" w:hAnsi="宋体"/>
          <w:b/>
          <w:bCs/>
          <w:sz w:val="32"/>
          <w:highlight w:val="none"/>
        </w:rPr>
      </w:pPr>
    </w:p>
    <w:p w14:paraId="0591FA6B">
      <w:pPr>
        <w:snapToGrid w:val="0"/>
        <w:spacing w:line="720" w:lineRule="exact"/>
        <w:ind w:firstLine="1205" w:firstLineChars="400"/>
        <w:rPr>
          <w:rFonts w:hint="eastAsia" w:ascii="华文仿宋" w:hAnsi="华文仿宋" w:eastAsia="华文仿宋" w:cs="华文仿宋"/>
          <w:b/>
          <w:bCs/>
          <w:sz w:val="30"/>
          <w:szCs w:val="30"/>
          <w:lang w:val="en-US" w:eastAsia="zh-CN"/>
        </w:rPr>
      </w:pPr>
      <w:r>
        <w:rPr>
          <w:rFonts w:hint="eastAsia" w:ascii="华文仿宋" w:hAnsi="华文仿宋" w:eastAsia="华文仿宋" w:cs="华文仿宋"/>
          <w:b/>
          <w:bCs/>
          <w:sz w:val="30"/>
          <w:szCs w:val="30"/>
        </w:rPr>
        <w:t>需方：</w:t>
      </w:r>
      <w:r>
        <w:rPr>
          <w:rFonts w:hint="eastAsia" w:ascii="华文仿宋" w:hAnsi="华文仿宋" w:eastAsia="华文仿宋" w:cs="华文仿宋"/>
          <w:b/>
          <w:bCs/>
          <w:sz w:val="30"/>
          <w:szCs w:val="30"/>
          <w:lang w:val="en-US" w:eastAsia="zh-CN"/>
        </w:rPr>
        <w:t>酒钢集团宏宇新材料CSP</w:t>
      </w:r>
    </w:p>
    <w:p w14:paraId="7843E8DC">
      <w:pPr>
        <w:snapToGrid w:val="0"/>
        <w:spacing w:line="720" w:lineRule="exact"/>
        <w:ind w:firstLine="1205" w:firstLineChars="400"/>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供方：</w:t>
      </w:r>
    </w:p>
    <w:p w14:paraId="6E8DB73C">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p>
    <w:p w14:paraId="6EFCF46A">
      <w:pPr>
        <w:pStyle w:val="3"/>
        <w:wordWrap/>
        <w:autoSpaceDE/>
        <w:autoSpaceDN/>
        <w:spacing w:before="0" w:after="0" w:line="360" w:lineRule="auto"/>
        <w:ind w:left="0" w:firstLine="1124" w:firstLineChars="400"/>
        <w:rPr>
          <w:rFonts w:hint="default" w:ascii="仿宋_GB2312" w:hAnsi="宋体" w:eastAsia="仿宋_GB2312"/>
          <w:b/>
          <w:bCs/>
          <w:caps w:val="0"/>
          <w:smallCaps w:val="0"/>
          <w:vanish w:val="0"/>
          <w:kern w:val="0"/>
          <w:sz w:val="28"/>
          <w:szCs w:val="28"/>
          <w:highlight w:val="none"/>
          <w:lang w:val="en-US" w:eastAsia="zh-CN" w:bidi="ar-SA"/>
        </w:rPr>
      </w:pPr>
    </w:p>
    <w:p w14:paraId="199DD07D">
      <w:pPr>
        <w:pStyle w:val="3"/>
        <w:wordWrap/>
        <w:autoSpaceDE/>
        <w:autoSpaceDN/>
        <w:spacing w:before="0" w:after="0" w:line="360" w:lineRule="auto"/>
        <w:ind w:left="0" w:firstLine="1124" w:firstLineChars="400"/>
        <w:rPr>
          <w:rFonts w:hint="default" w:ascii="仿宋_GB2312" w:hAnsi="宋体" w:eastAsia="仿宋_GB2312"/>
          <w:b/>
          <w:bCs/>
          <w:caps w:val="0"/>
          <w:smallCaps w:val="0"/>
          <w:vanish w:val="0"/>
          <w:kern w:val="0"/>
          <w:sz w:val="28"/>
          <w:szCs w:val="28"/>
          <w:highlight w:val="none"/>
          <w:lang w:val="en-US" w:eastAsia="zh-CN" w:bidi="ar-SA"/>
        </w:rPr>
      </w:pPr>
    </w:p>
    <w:p w14:paraId="67270A2E">
      <w:pPr>
        <w:pStyle w:val="3"/>
        <w:wordWrap/>
        <w:autoSpaceDE/>
        <w:autoSpaceDN/>
        <w:spacing w:before="0" w:after="0" w:line="360" w:lineRule="auto"/>
        <w:jc w:val="center"/>
        <w:rPr>
          <w:rFonts w:hint="default"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2026年5月</w:t>
      </w:r>
    </w:p>
    <w:p w14:paraId="48A90114">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26F0869E">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14:paraId="56339A2A"/>
    <w:p w14:paraId="4EFC4B2F"/>
    <w:p w14:paraId="2429363A"/>
    <w:p w14:paraId="44762386"/>
    <w:p w14:paraId="11A6A55E"/>
    <w:p w14:paraId="3A5A9DED"/>
    <w:p w14:paraId="7B8A22D5"/>
    <w:p w14:paraId="02B1A9DE">
      <w:pPr>
        <w:pStyle w:val="7"/>
        <w:rPr>
          <w:rFonts w:hint="eastAsia"/>
        </w:rPr>
      </w:pPr>
    </w:p>
    <w:p w14:paraId="1322BBC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一．总则</w:t>
      </w:r>
    </w:p>
    <w:p w14:paraId="1122EB7F">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w:t>
      </w:r>
    </w:p>
    <w:p w14:paraId="794BF712">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w:t>
      </w:r>
      <w:r>
        <w:rPr>
          <w:rFonts w:hint="eastAsia" w:ascii="仿宋_GB2312" w:hAnsi="仿宋_GB2312" w:eastAsia="仿宋_GB2312" w:cs="仿宋_GB2312"/>
          <w:b/>
          <w:bCs/>
          <w:kern w:val="2"/>
          <w:sz w:val="30"/>
          <w:szCs w:val="30"/>
          <w:highlight w:val="none"/>
          <w:lang w:val="en-GB" w:eastAsia="zh-CN"/>
        </w:rPr>
        <w:t>设备参数、</w:t>
      </w:r>
      <w:r>
        <w:rPr>
          <w:rFonts w:hint="eastAsia" w:ascii="仿宋_GB2312" w:hAnsi="仿宋_GB2312" w:eastAsia="仿宋_GB2312" w:cs="仿宋_GB2312"/>
          <w:b/>
          <w:bCs/>
          <w:kern w:val="2"/>
          <w:sz w:val="30"/>
          <w:szCs w:val="30"/>
          <w:highlight w:val="none"/>
          <w:lang w:val="en-US" w:eastAsia="zh-CN"/>
        </w:rPr>
        <w:t>制造技术要求</w:t>
      </w:r>
    </w:p>
    <w:p w14:paraId="62D7CE09">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四、设备制造、验收标准</w:t>
      </w:r>
    </w:p>
    <w:p w14:paraId="7486395B">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14:paraId="600940B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六、交货时间及地点</w:t>
      </w:r>
    </w:p>
    <w:p w14:paraId="6BD2D8B5">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七、其它</w:t>
      </w:r>
    </w:p>
    <w:p w14:paraId="302D828F">
      <w:pPr>
        <w:pStyle w:val="4"/>
        <w:rPr>
          <w:rFonts w:hint="eastAsia"/>
          <w:highlight w:val="none"/>
          <w:lang w:val="en-US" w:eastAsia="zh-CN"/>
        </w:rPr>
      </w:pPr>
    </w:p>
    <w:p w14:paraId="0C7332F9">
      <w:pPr>
        <w:pStyle w:val="4"/>
        <w:rPr>
          <w:rFonts w:hint="eastAsia"/>
          <w:highlight w:val="none"/>
          <w:lang w:val="en-US" w:eastAsia="zh-CN"/>
        </w:rPr>
      </w:pPr>
    </w:p>
    <w:p w14:paraId="7894A512">
      <w:pPr>
        <w:pStyle w:val="4"/>
        <w:rPr>
          <w:rFonts w:hint="eastAsia"/>
          <w:highlight w:val="none"/>
          <w:lang w:val="en-US" w:eastAsia="zh-CN"/>
        </w:rPr>
      </w:pPr>
    </w:p>
    <w:p w14:paraId="795E26E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302A40B4">
      <w:pPr>
        <w:pStyle w:val="7"/>
        <w:rPr>
          <w:rFonts w:hint="eastAsia" w:ascii="仿宋_GB2312" w:hAnsi="仿宋_GB2312" w:eastAsia="仿宋_GB2312" w:cs="仿宋_GB2312"/>
          <w:b w:val="0"/>
          <w:bCs w:val="0"/>
          <w:kern w:val="2"/>
          <w:sz w:val="30"/>
          <w:szCs w:val="30"/>
          <w:highlight w:val="none"/>
          <w:lang w:val="en-US" w:eastAsia="zh-CN"/>
        </w:rPr>
      </w:pPr>
    </w:p>
    <w:p w14:paraId="4E8D336A">
      <w:pPr>
        <w:pStyle w:val="7"/>
        <w:rPr>
          <w:rFonts w:hint="eastAsia" w:ascii="仿宋_GB2312" w:hAnsi="仿宋_GB2312" w:eastAsia="仿宋_GB2312" w:cs="仿宋_GB2312"/>
          <w:b w:val="0"/>
          <w:bCs w:val="0"/>
          <w:kern w:val="2"/>
          <w:sz w:val="30"/>
          <w:szCs w:val="30"/>
          <w:highlight w:val="none"/>
          <w:lang w:val="en-US" w:eastAsia="zh-CN"/>
        </w:rPr>
      </w:pPr>
    </w:p>
    <w:p w14:paraId="5BA5AE2C">
      <w:pPr>
        <w:pStyle w:val="7"/>
        <w:rPr>
          <w:rFonts w:hint="eastAsia" w:ascii="仿宋_GB2312" w:hAnsi="仿宋_GB2312" w:eastAsia="仿宋_GB2312" w:cs="仿宋_GB2312"/>
          <w:b w:val="0"/>
          <w:bCs w:val="0"/>
          <w:kern w:val="2"/>
          <w:sz w:val="30"/>
          <w:szCs w:val="30"/>
          <w:highlight w:val="none"/>
          <w:lang w:val="en-US" w:eastAsia="zh-CN"/>
        </w:rPr>
      </w:pPr>
    </w:p>
    <w:p w14:paraId="53D278FA">
      <w:pPr>
        <w:pStyle w:val="7"/>
        <w:rPr>
          <w:rFonts w:hint="eastAsia" w:ascii="仿宋_GB2312" w:hAnsi="仿宋_GB2312" w:eastAsia="仿宋_GB2312" w:cs="仿宋_GB2312"/>
          <w:b w:val="0"/>
          <w:bCs w:val="0"/>
          <w:kern w:val="2"/>
          <w:sz w:val="30"/>
          <w:szCs w:val="30"/>
          <w:highlight w:val="none"/>
          <w:lang w:val="en-US" w:eastAsia="zh-CN"/>
        </w:rPr>
      </w:pPr>
    </w:p>
    <w:p w14:paraId="084C6BD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2ED90E4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37FA5BA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kern w:val="2"/>
          <w:sz w:val="30"/>
          <w:szCs w:val="30"/>
          <w:highlight w:val="none"/>
          <w:lang w:val="en-US" w:eastAsia="zh-CN"/>
        </w:rPr>
      </w:pPr>
    </w:p>
    <w:p w14:paraId="57FBF86B">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kern w:val="2"/>
          <w:sz w:val="30"/>
          <w:szCs w:val="30"/>
          <w:highlight w:val="none"/>
          <w:lang w:val="en-US" w:eastAsia="zh-CN"/>
        </w:rPr>
      </w:pPr>
    </w:p>
    <w:p w14:paraId="28D27F57">
      <w:pPr>
        <w:pStyle w:val="7"/>
        <w:keepNext w:val="0"/>
        <w:keepLines w:val="0"/>
        <w:pageBreakBefore w:val="0"/>
        <w:widowControl/>
        <w:kinsoku/>
        <w:wordWrap w:val="0"/>
        <w:overflowPunct/>
        <w:topLinePunct w:val="0"/>
        <w:autoSpaceDE/>
        <w:autoSpaceDN/>
        <w:bidi w:val="0"/>
        <w:adjustRightInd w:val="0"/>
        <w:snapToGrid w:val="0"/>
        <w:spacing w:line="600" w:lineRule="exact"/>
        <w:ind w:left="0" w:leftChars="0" w:firstLine="640" w:firstLineChars="200"/>
        <w:jc w:val="left"/>
        <w:textAlignment w:val="auto"/>
        <w:rPr>
          <w:rFonts w:hint="eastAsia" w:ascii="仿宋_GB2312" w:hAnsi="仿宋_GB2312" w:eastAsia="仿宋_GB2312" w:cs="仿宋_GB2312"/>
          <w:b/>
          <w:bCs/>
          <w:sz w:val="30"/>
          <w:szCs w:val="30"/>
          <w:highlight w:val="none"/>
          <w:lang w:val="en-US" w:eastAsia="zh-CN"/>
        </w:rPr>
      </w:pPr>
      <w:r>
        <w:rPr>
          <w:rFonts w:hint="eastAsia" w:ascii="仿宋" w:hAnsi="仿宋" w:eastAsia="仿宋" w:cs="仿宋"/>
          <w:sz w:val="32"/>
          <w:szCs w:val="32"/>
        </w:rPr>
        <w:t>酒钢集团</w:t>
      </w:r>
      <w:r>
        <w:rPr>
          <w:rFonts w:hint="eastAsia" w:ascii="仿宋" w:hAnsi="仿宋" w:eastAsia="仿宋" w:cs="仿宋"/>
          <w:sz w:val="32"/>
          <w:szCs w:val="32"/>
          <w:lang w:val="en-US" w:eastAsia="zh-CN"/>
        </w:rPr>
        <w:t>酒钢集团宏宇新材料CSP</w:t>
      </w:r>
      <w:r>
        <w:rPr>
          <w:rFonts w:hint="eastAsia" w:ascii="仿宋" w:hAnsi="仿宋" w:eastAsia="仿宋" w:cs="仿宋"/>
          <w:sz w:val="32"/>
          <w:szCs w:val="32"/>
        </w:rPr>
        <w:t>（以下称甲方）与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（以下称乙方）就甲方</w:t>
      </w:r>
      <w:r>
        <w:rPr>
          <w:rFonts w:hint="eastAsia" w:ascii="仿宋" w:hAnsi="仿宋" w:eastAsia="仿宋" w:cs="仿宋"/>
          <w:sz w:val="32"/>
          <w:szCs w:val="32"/>
          <w:lang w:val="en-US" w:eastAsia="zh-CN"/>
        </w:rPr>
        <w:t>罗茨风机</w:t>
      </w:r>
      <w:r>
        <w:rPr>
          <w:rFonts w:hint="eastAsia" w:ascii="仿宋" w:hAnsi="仿宋" w:eastAsia="仿宋" w:cs="仿宋"/>
          <w:sz w:val="32"/>
          <w:szCs w:val="32"/>
        </w:rPr>
        <w:t>采购经双方协商，达成如下技术规格书：</w:t>
      </w:r>
    </w:p>
    <w:p w14:paraId="7001838F"/>
    <w:p w14:paraId="2AC0871C">
      <w:pPr>
        <w:pStyle w:val="4"/>
        <w:ind w:left="0" w:leftChars="0" w:firstLine="602"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p>
    <w:p w14:paraId="5AB142A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本技术规格书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14:paraId="7BB47A5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本技术规格书提出的是最低限度的技术要求，并未对一切技术要求作出详细规定，也未充分引述有关标准及规范的条文。乙方应保证提供符合本规范书和相关的国际、国内工业标准的高质量产品及其相应服务，对国家有关安全、环保等强制性标准，必须满足其要求。</w:t>
      </w:r>
    </w:p>
    <w:p w14:paraId="361A71F4">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3.乙方提供的设备应是成熟可靠、技术先进的产品，在钢铁行业机组有2家及以上运行超过3年，已证明安全可靠的优质产品。</w:t>
      </w:r>
    </w:p>
    <w:p w14:paraId="11A3AA1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4.对于国家明令禁止使用的和已淘汰的产品和设备，一律不准在本工程中使用。</w:t>
      </w:r>
    </w:p>
    <w:p w14:paraId="7603B24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5.若乙方所提供的投标文件前后有不一致的地方，应以更有利于设备安装运行、工程质量为原则，由甲方确定。</w:t>
      </w:r>
    </w:p>
    <w:p w14:paraId="0461764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6.本技术规格书所引用的标准若与乙方所执行的标准发生矛盾时，按较高的标准执行。乙方在设备设计和制造中所涉及的各项规程、规范和标准必须遵循现行最新标准版本。</w:t>
      </w:r>
    </w:p>
    <w:p w14:paraId="17DC9F24">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7.乙方对所提供的全套系统设备(含辅助系统与设备)负有全责。</w:t>
      </w:r>
    </w:p>
    <w:p w14:paraId="3E54026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8.在合同签订后，甲方有权因规范、标准、规程发生变化而提出一些补充要求。在设备投料生产前，乙方应在设计上给予修改，具体项目由供需双方共同商定。</w:t>
      </w:r>
    </w:p>
    <w:p w14:paraId="2801255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9.在中标后3天内，按本技术规格书的要求，乙方提出设备的设计、制造、检验/试验、装配、调试、试运、验收、试验、运行和维护等标准清单给甲方，供甲方确认。</w:t>
      </w:r>
    </w:p>
    <w:p w14:paraId="537E537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10.乙方在合同货物制造中，发生侵犯专利的行为时其侵权责任与甲方无关。</w:t>
      </w:r>
    </w:p>
    <w:p w14:paraId="434238F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val="0"/>
          <w:bCs w:val="0"/>
          <w:kern w:val="2"/>
          <w:sz w:val="30"/>
          <w:szCs w:val="30"/>
          <w:highlight w:val="none"/>
          <w:lang w:val="en-US" w:eastAsia="zh-CN"/>
        </w:rPr>
        <w:t>11.乙方须对风机设计的完整性、合理性和设计质量承担全部责任。</w:t>
      </w:r>
    </w:p>
    <w:p w14:paraId="411A9781">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w:t>
      </w:r>
    </w:p>
    <w:tbl>
      <w:tblPr>
        <w:tblStyle w:val="5"/>
        <w:tblpPr w:leftFromText="180" w:rightFromText="180" w:vertAnchor="text" w:horzAnchor="page" w:tblpXSpec="center" w:tblpY="199"/>
        <w:tblOverlap w:val="never"/>
        <w:tblW w:w="6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9"/>
        <w:gridCol w:w="1737"/>
        <w:gridCol w:w="1030"/>
        <w:gridCol w:w="1118"/>
        <w:gridCol w:w="1268"/>
        <w:gridCol w:w="832"/>
      </w:tblGrid>
      <w:tr w14:paraId="6BB06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49" w:type="dxa"/>
            <w:tcBorders>
              <w:top w:val="single" w:color="000000" w:sz="4" w:space="0"/>
              <w:left w:val="single" w:color="000000" w:sz="4" w:space="0"/>
              <w:bottom w:val="nil"/>
              <w:right w:val="single" w:color="000000" w:sz="4" w:space="0"/>
            </w:tcBorders>
            <w:shd w:val="clear" w:color="auto" w:fill="auto"/>
            <w:noWrap/>
            <w:vAlign w:val="center"/>
          </w:tcPr>
          <w:p w14:paraId="2DD7B20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序号</w:t>
            </w:r>
          </w:p>
        </w:tc>
        <w:tc>
          <w:tcPr>
            <w:tcW w:w="1737" w:type="dxa"/>
            <w:tcBorders>
              <w:top w:val="single" w:color="000000" w:sz="4" w:space="0"/>
              <w:left w:val="single" w:color="000000" w:sz="4" w:space="0"/>
              <w:bottom w:val="nil"/>
              <w:right w:val="single" w:color="000000" w:sz="4" w:space="0"/>
            </w:tcBorders>
            <w:shd w:val="clear" w:color="auto" w:fill="auto"/>
            <w:noWrap/>
            <w:vAlign w:val="center"/>
          </w:tcPr>
          <w:p w14:paraId="47994D82">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设备名称</w:t>
            </w:r>
          </w:p>
        </w:tc>
        <w:tc>
          <w:tcPr>
            <w:tcW w:w="1030" w:type="dxa"/>
            <w:tcBorders>
              <w:top w:val="single" w:color="000000" w:sz="4" w:space="0"/>
              <w:left w:val="single" w:color="000000" w:sz="4" w:space="0"/>
              <w:bottom w:val="nil"/>
              <w:right w:val="single" w:color="000000" w:sz="4" w:space="0"/>
            </w:tcBorders>
            <w:shd w:val="clear" w:color="auto" w:fill="auto"/>
            <w:vAlign w:val="center"/>
          </w:tcPr>
          <w:p w14:paraId="3E4F48A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Q(m³/min)</w:t>
            </w:r>
          </w:p>
        </w:tc>
        <w:tc>
          <w:tcPr>
            <w:tcW w:w="1118" w:type="dxa"/>
            <w:tcBorders>
              <w:top w:val="single" w:color="000000" w:sz="4" w:space="0"/>
              <w:left w:val="single" w:color="000000" w:sz="4" w:space="0"/>
              <w:bottom w:val="nil"/>
              <w:right w:val="single" w:color="000000" w:sz="4" w:space="0"/>
            </w:tcBorders>
            <w:shd w:val="clear" w:color="auto" w:fill="auto"/>
            <w:vAlign w:val="center"/>
          </w:tcPr>
          <w:p w14:paraId="4AE0548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P（Kpa）</w:t>
            </w:r>
          </w:p>
        </w:tc>
        <w:tc>
          <w:tcPr>
            <w:tcW w:w="1268" w:type="dxa"/>
            <w:tcBorders>
              <w:top w:val="single" w:color="000000" w:sz="4" w:space="0"/>
              <w:left w:val="single" w:color="000000" w:sz="4" w:space="0"/>
              <w:bottom w:val="nil"/>
              <w:right w:val="single" w:color="000000" w:sz="4" w:space="0"/>
            </w:tcBorders>
            <w:shd w:val="clear" w:color="auto" w:fill="auto"/>
            <w:vAlign w:val="center"/>
          </w:tcPr>
          <w:p w14:paraId="74CF0DF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功率（KW）</w:t>
            </w:r>
          </w:p>
        </w:tc>
        <w:tc>
          <w:tcPr>
            <w:tcW w:w="832" w:type="dxa"/>
            <w:tcBorders>
              <w:top w:val="single" w:color="000000" w:sz="4" w:space="0"/>
              <w:left w:val="single" w:color="000000" w:sz="4" w:space="0"/>
              <w:bottom w:val="nil"/>
              <w:right w:val="single" w:color="000000" w:sz="4" w:space="0"/>
            </w:tcBorders>
            <w:shd w:val="clear" w:color="auto" w:fill="auto"/>
            <w:noWrap/>
            <w:vAlign w:val="center"/>
          </w:tcPr>
          <w:p w14:paraId="743662E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数量</w:t>
            </w:r>
          </w:p>
        </w:tc>
      </w:tr>
      <w:tr w14:paraId="4EF02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301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1</w:t>
            </w: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1D53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罗茨鼓风机（真空泵）ZG-80\4m3/min 58.8kPa 7.5kW/铸钢</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A37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45A5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58.8</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0FA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7.5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0D6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r>
    </w:tbl>
    <w:p w14:paraId="7FA4CA5B"/>
    <w:p w14:paraId="298F448E"/>
    <w:p w14:paraId="23A377C1"/>
    <w:p w14:paraId="157F7B99"/>
    <w:p w14:paraId="3498BC32"/>
    <w:p w14:paraId="57D7721B"/>
    <w:p w14:paraId="4FD6E685"/>
    <w:p w14:paraId="2DC6AFE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包括罗茨风机、配套电动机、放气阀、压力表、软连接、配套消音器、及相关附件，电气设备外壳防护等级不低于 IP65，所有电机能效为一级。</w:t>
      </w:r>
    </w:p>
    <w:p w14:paraId="387F1DFF">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w:t>
      </w:r>
      <w:r>
        <w:rPr>
          <w:rFonts w:hint="eastAsia" w:ascii="仿宋_GB2312" w:hAnsi="仿宋_GB2312" w:eastAsia="仿宋_GB2312" w:cs="仿宋_GB2312"/>
          <w:b/>
          <w:bCs/>
          <w:kern w:val="2"/>
          <w:sz w:val="30"/>
          <w:szCs w:val="30"/>
          <w:highlight w:val="none"/>
          <w:lang w:val="en-GB" w:eastAsia="zh-CN"/>
        </w:rPr>
        <w:t>设备参数、</w:t>
      </w:r>
      <w:r>
        <w:rPr>
          <w:rFonts w:hint="eastAsia" w:ascii="仿宋_GB2312" w:hAnsi="仿宋_GB2312" w:eastAsia="仿宋_GB2312" w:cs="仿宋_GB2312"/>
          <w:b/>
          <w:bCs/>
          <w:kern w:val="2"/>
          <w:sz w:val="30"/>
          <w:szCs w:val="30"/>
          <w:highlight w:val="none"/>
          <w:lang w:val="en-US" w:eastAsia="zh-CN"/>
        </w:rPr>
        <w:t>制造技术要求</w:t>
      </w:r>
    </w:p>
    <w:p w14:paraId="5FB70030">
      <w:pPr>
        <w:pStyle w:val="4"/>
        <w:ind w:left="0" w:leftChars="0" w:firstLine="600" w:firstLineChars="200"/>
        <w:rPr>
          <w:rFonts w:hint="default"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1.设备情况</w:t>
      </w:r>
    </w:p>
    <w:p w14:paraId="41328982">
      <w:pPr>
        <w:pStyle w:val="4"/>
        <w:ind w:left="0" w:leftChars="0" w:firstLine="600" w:firstLineChars="200"/>
        <w:rPr>
          <w:rFonts w:hint="eastAsia" w:ascii="仿宋_GB2312" w:hAnsi="仿宋_GB2312" w:eastAsia="仿宋_GB2312" w:cs="仿宋_GB2312"/>
          <w:b/>
          <w:bCs/>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罗茨风机，1套</w:t>
      </w:r>
    </w:p>
    <w:p w14:paraId="0A6D17C6">
      <w:pPr>
        <w:pStyle w:val="4"/>
        <w:ind w:left="0" w:leftChars="0" w:firstLine="600" w:firstLineChars="200"/>
        <w:rPr>
          <w:rFonts w:hint="default"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设备参数</w:t>
      </w:r>
    </w:p>
    <w:tbl>
      <w:tblPr>
        <w:tblStyle w:val="5"/>
        <w:tblW w:w="0" w:type="auto"/>
        <w:jc w:val="center"/>
        <w:tblLayout w:type="fixed"/>
        <w:tblCellMar>
          <w:top w:w="0" w:type="dxa"/>
          <w:left w:w="0" w:type="dxa"/>
          <w:bottom w:w="0" w:type="dxa"/>
          <w:right w:w="0" w:type="dxa"/>
        </w:tblCellMar>
      </w:tblPr>
      <w:tblGrid>
        <w:gridCol w:w="3223"/>
        <w:gridCol w:w="1862"/>
        <w:gridCol w:w="3413"/>
      </w:tblGrid>
      <w:tr w14:paraId="1408558B">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E576C7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项    目</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435613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单 位</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71AE53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参数</w:t>
            </w:r>
          </w:p>
        </w:tc>
      </w:tr>
      <w:tr w14:paraId="0B59F3BD">
        <w:tblPrEx>
          <w:tblCellMar>
            <w:top w:w="0" w:type="dxa"/>
            <w:left w:w="0" w:type="dxa"/>
            <w:bottom w:w="0" w:type="dxa"/>
            <w:right w:w="0" w:type="dxa"/>
          </w:tblCellMar>
        </w:tblPrEx>
        <w:trPr>
          <w:trHeight w:val="49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93E4C7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风机名称</w:t>
            </w:r>
          </w:p>
        </w:tc>
        <w:tc>
          <w:tcPr>
            <w:tcW w:w="5275" w:type="dxa"/>
            <w:gridSpan w:val="2"/>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09DBEF4">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罗茨风机</w:t>
            </w:r>
          </w:p>
        </w:tc>
      </w:tr>
      <w:tr w14:paraId="510F14FE">
        <w:tblPrEx>
          <w:tblCellMar>
            <w:top w:w="0" w:type="dxa"/>
            <w:left w:w="0" w:type="dxa"/>
            <w:bottom w:w="0" w:type="dxa"/>
            <w:right w:w="0" w:type="dxa"/>
          </w:tblCellMar>
        </w:tblPrEx>
        <w:trPr>
          <w:trHeight w:val="4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958496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数量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1F7BD11">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台</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67E0DBC">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r>
      <w:tr w14:paraId="66D0F4F4">
        <w:tblPrEx>
          <w:tblCellMar>
            <w:top w:w="0" w:type="dxa"/>
            <w:left w:w="0" w:type="dxa"/>
            <w:bottom w:w="0" w:type="dxa"/>
            <w:right w:w="0" w:type="dxa"/>
          </w:tblCellMar>
        </w:tblPrEx>
        <w:trPr>
          <w:trHeight w:val="49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15BFE8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val="en-US" w:eastAsia="zh-CN"/>
              </w:rPr>
              <w:t>Q</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A87A36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m</w:t>
            </w:r>
            <w:r>
              <w:rPr>
                <w:rFonts w:hint="eastAsia" w:ascii="仿宋_GB2312" w:hAnsi="仿宋_GB2312" w:eastAsia="仿宋_GB2312" w:cs="仿宋_GB2312"/>
                <w:b w:val="0"/>
                <w:bCs w:val="0"/>
                <w:sz w:val="24"/>
                <w:szCs w:val="24"/>
                <w:highlight w:val="none"/>
                <w:vertAlign w:val="superscript"/>
              </w:rPr>
              <w:t>3</w:t>
            </w:r>
            <w:r>
              <w:rPr>
                <w:rFonts w:hint="eastAsia" w:ascii="仿宋_GB2312" w:hAnsi="仿宋_GB2312" w:eastAsia="仿宋_GB2312" w:cs="仿宋_GB2312"/>
                <w:b w:val="0"/>
                <w:bCs w:val="0"/>
                <w:sz w:val="24"/>
                <w:szCs w:val="24"/>
                <w:highlight w:val="none"/>
              </w:rPr>
              <w:t>/</w:t>
            </w:r>
            <w:r>
              <w:rPr>
                <w:rFonts w:hint="eastAsia" w:ascii="仿宋_GB2312" w:hAnsi="仿宋_GB2312" w:eastAsia="仿宋_GB2312" w:cs="仿宋_GB2312"/>
                <w:b w:val="0"/>
                <w:bCs w:val="0"/>
                <w:sz w:val="24"/>
                <w:szCs w:val="24"/>
                <w:highlight w:val="none"/>
                <w:lang w:val="en-US" w:eastAsia="zh-CN"/>
              </w:rPr>
              <w:t>min</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DF36F10">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w:t>
            </w:r>
          </w:p>
        </w:tc>
      </w:tr>
      <w:tr w14:paraId="4FE8B6DE">
        <w:tblPrEx>
          <w:tblCellMar>
            <w:top w:w="0" w:type="dxa"/>
            <w:left w:w="0" w:type="dxa"/>
            <w:bottom w:w="0" w:type="dxa"/>
            <w:right w:w="0" w:type="dxa"/>
          </w:tblCellMar>
        </w:tblPrEx>
        <w:trPr>
          <w:trHeight w:val="472"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E4661C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val="en-US" w:eastAsia="zh-CN"/>
              </w:rPr>
              <w:t>P</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030B67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val="en-US" w:eastAsia="zh-CN"/>
              </w:rPr>
              <w:t>Kpa</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EE81DF8">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58.8</w:t>
            </w:r>
          </w:p>
        </w:tc>
      </w:tr>
      <w:tr w14:paraId="77518186">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D51730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功率</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61D56C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kW</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F764A1F">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7.5</w:t>
            </w:r>
          </w:p>
        </w:tc>
      </w:tr>
      <w:tr w14:paraId="02085F86">
        <w:tblPrEx>
          <w:tblCellMar>
            <w:top w:w="0" w:type="dxa"/>
            <w:left w:w="0" w:type="dxa"/>
            <w:bottom w:w="0" w:type="dxa"/>
            <w:right w:w="0" w:type="dxa"/>
          </w:tblCellMar>
        </w:tblPrEx>
        <w:trPr>
          <w:trHeight w:val="494"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ED224E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电机能效</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F5E71E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30"/>
                <w:szCs w:val="30"/>
                <w:highlight w:val="none"/>
                <w:lang w:val="en-US" w:eastAsia="zh-CN"/>
              </w:rPr>
              <w:t>/</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069E127">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一级能效</w:t>
            </w:r>
          </w:p>
        </w:tc>
      </w:tr>
      <w:tr w14:paraId="6FF6BB3B">
        <w:tblPrEx>
          <w:tblCellMar>
            <w:top w:w="0" w:type="dxa"/>
            <w:left w:w="0" w:type="dxa"/>
            <w:bottom w:w="0" w:type="dxa"/>
            <w:right w:w="0" w:type="dxa"/>
          </w:tblCellMar>
        </w:tblPrEx>
        <w:trPr>
          <w:trHeight w:val="4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A5CA956">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电气设备外壳防护等级</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B5484A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val="en-US" w:eastAsia="zh-CN"/>
              </w:rPr>
              <w:t>/</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35D5F7A">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不低于IP65</w:t>
            </w:r>
          </w:p>
        </w:tc>
      </w:tr>
    </w:tbl>
    <w:p w14:paraId="24A267DA">
      <w:pPr>
        <w:keepNext w:val="0"/>
        <w:keepLines w:val="0"/>
        <w:pageBreakBefore w:val="0"/>
        <w:widowControl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2.技术要求</w:t>
      </w:r>
    </w:p>
    <w:p w14:paraId="18F6D5D4">
      <w:pPr>
        <w:keepNext w:val="0"/>
        <w:keepLines w:val="0"/>
        <w:pageBreakBefore w:val="0"/>
        <w:widowControl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2.1乙方负责电机的技术接口问题及风机的全部性能指标和整体质量，风机、</w:t>
      </w:r>
      <w:r>
        <w:rPr>
          <w:rFonts w:hint="eastAsia" w:ascii="仿宋_GB2312" w:hAnsi="仿宋_GB2312" w:eastAsia="仿宋_GB2312" w:cs="仿宋_GB2312"/>
          <w:b w:val="0"/>
          <w:bCs w:val="0"/>
          <w:kern w:val="2"/>
          <w:sz w:val="30"/>
          <w:szCs w:val="30"/>
          <w:highlight w:val="none"/>
          <w:lang w:val="en-US" w:eastAsia="zh-CN"/>
        </w:rPr>
        <w:t>电动机、放气阀</w:t>
      </w:r>
      <w:r>
        <w:rPr>
          <w:rFonts w:hint="eastAsia" w:ascii="仿宋_GB2312" w:hAnsi="仿宋_GB2312" w:eastAsia="仿宋_GB2312" w:cs="仿宋_GB2312"/>
          <w:sz w:val="30"/>
          <w:szCs w:val="30"/>
          <w:highlight w:val="none"/>
          <w:lang w:val="en-US" w:eastAsia="zh-CN"/>
        </w:rPr>
        <w:t>、压力表、软连接、配套消音器的供货，并应在制造厂进行整体装配试运后方可出厂。</w:t>
      </w:r>
    </w:p>
    <w:p w14:paraId="61D8C180">
      <w:pPr>
        <w:keepNext w:val="0"/>
        <w:keepLines w:val="0"/>
        <w:pageBreakBefore w:val="0"/>
        <w:widowControl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2.2乙方提供技术先进，结构合理、安全、成熟可靠并符合国家有关标准的产品。同时必须提供高效节能、通过国家认证且具有认证证书的产品。</w:t>
      </w:r>
    </w:p>
    <w:p w14:paraId="229A5D49">
      <w:pPr>
        <w:keepNext w:val="0"/>
        <w:keepLines w:val="0"/>
        <w:pageBreakBefore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2.3乙方应提供设备产品设计、制造、质量检验、交货及验收应遵照的规范和标准。</w:t>
      </w:r>
    </w:p>
    <w:p w14:paraId="06DDDD5A">
      <w:pPr>
        <w:keepNext w:val="0"/>
        <w:keepLines w:val="0"/>
        <w:pageBreakBefore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2.4风机随供货设备提供该设备的安装说明、装箱单、试验报告、产品说明书、产品合格证等相关资料供甲方验收。</w:t>
      </w:r>
    </w:p>
    <w:p w14:paraId="5F74D596">
      <w:pPr>
        <w:keepNext w:val="0"/>
        <w:keepLines w:val="0"/>
        <w:pageBreakBefore w:val="0"/>
        <w:widowControl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2.5供方提供的风机功能完整，技术先进成熟，所供设备均按最新标准设计和制造，在系统正常合理工况下能满足安全和持续运行的要求。</w:t>
      </w:r>
    </w:p>
    <w:p w14:paraId="5370DC48">
      <w:pPr>
        <w:keepNext w:val="0"/>
        <w:keepLines w:val="0"/>
        <w:pageBreakBefore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2.6风机零部件均采用先进、可靠的加工制造技术，并具有良好的表面几何形状及合适的公差配合。</w:t>
      </w:r>
    </w:p>
    <w:p w14:paraId="0844EA14">
      <w:pPr>
        <w:keepNext w:val="0"/>
        <w:keepLines w:val="0"/>
        <w:pageBreakBefore w:val="0"/>
        <w:kinsoku/>
        <w:wordWrap w:val="0"/>
        <w:overflowPunct/>
        <w:topLinePunct w:val="0"/>
        <w:autoSpaceDE/>
        <w:autoSpaceDN/>
        <w:bidi w:val="0"/>
        <w:adjustRightInd/>
        <w:snapToGrid/>
        <w:spacing w:after="0"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2.7风机的转子及其主要旋转部件都必须进行静、动平衡试验，出具试验报告，偏差重量＜5g。</w:t>
      </w:r>
    </w:p>
    <w:p w14:paraId="499616BD">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四.设备制造、验收标准</w:t>
      </w:r>
    </w:p>
    <w:p w14:paraId="5DC9955D">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1.JB/T 8941.1-2014《一般用途罗茨鼓风机 第1部分：技术条件》。</w:t>
      </w:r>
    </w:p>
    <w:p w14:paraId="7B7DEEA9">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2.JB/T 8941.2-2014《一般用途罗茨鼓风机 第2部分：性能试验方法》。</w:t>
      </w:r>
    </w:p>
    <w:p w14:paraId="3F0BDDF2">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3.HJ/T251-2006《环境保护产品技术要求 罗茨鼓风机》</w:t>
      </w:r>
    </w:p>
    <w:p w14:paraId="162415B9">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4.GB/T2888-2016《风机和罗茨鼓风机噪声测量方法》。</w:t>
      </w:r>
    </w:p>
    <w:p w14:paraId="1DD19ECB">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5.GB/T8689-2014《通风机振动检测及其限值》。</w:t>
      </w:r>
    </w:p>
    <w:p w14:paraId="5C0D04A9">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6.GB50275-2010《风机、压缩机、泵安装工程施工及验收规范》</w:t>
      </w:r>
    </w:p>
    <w:p w14:paraId="76347563">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7.GB/T13306-2011《标牌》。</w:t>
      </w:r>
    </w:p>
    <w:p w14:paraId="798F8BF5">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8.GB/T13384-2008《机电产品包装通用技术条件》。</w:t>
      </w:r>
    </w:p>
    <w:p w14:paraId="561CF088">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9.GB3089.1《紧固件机械性能 螺栓、螺钉和螺柱》。</w:t>
      </w:r>
    </w:p>
    <w:p w14:paraId="1806C359">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10.GB3089.2《紧固件机械性能 螺母》。</w:t>
      </w:r>
    </w:p>
    <w:p w14:paraId="1936879E">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11.GB18613-2020《电动机能效限定值及能效等级》</w:t>
      </w:r>
    </w:p>
    <w:p w14:paraId="7A31A23F">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12.GB191《包装储用图示标志》。</w:t>
      </w:r>
    </w:p>
    <w:p w14:paraId="78A726C3">
      <w:pPr>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13.所有设备均按国家最新标准的规定进行组装，所提供的设备必须达到性能参数技术要求。</w:t>
      </w:r>
    </w:p>
    <w:p w14:paraId="29525032">
      <w:pPr>
        <w:pStyle w:val="7"/>
        <w:keepNext w:val="0"/>
        <w:keepLines w:val="0"/>
        <w:pageBreakBefore w:val="0"/>
        <w:widowControl/>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14.所有用于设备制造的材料及制作工艺均应符合相关行业标准。</w:t>
      </w:r>
    </w:p>
    <w:p w14:paraId="67A8B8B9">
      <w:pPr>
        <w:keepNext w:val="0"/>
        <w:keepLines w:val="0"/>
        <w:pageBreakBefore w:val="0"/>
        <w:widowControl/>
        <w:numPr>
          <w:ilvl w:val="0"/>
          <w:numId w:val="0"/>
        </w:numPr>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15.所提供的设备及备件在现场进行验收，如存在质量问题，乙方无条件负责免费更换。</w:t>
      </w:r>
    </w:p>
    <w:p w14:paraId="3A29985C">
      <w:pPr>
        <w:pStyle w:val="7"/>
        <w:keepNext w:val="0"/>
        <w:keepLines w:val="0"/>
        <w:pageBreakBefore w:val="0"/>
        <w:widowControl/>
        <w:kinsoku/>
        <w:wordWrap w:val="0"/>
        <w:overflowPunct/>
        <w:topLinePunct w:val="0"/>
        <w:autoSpaceDE/>
        <w:autoSpaceDN/>
        <w:bidi w:val="0"/>
        <w:adjustRightInd w:val="0"/>
        <w:snapToGrid w:val="0"/>
        <w:spacing w:line="600" w:lineRule="exact"/>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16.在调试过程中，由于乙方原因造成设备的损坏或损伤，由乙方承担全部损失。</w:t>
      </w:r>
    </w:p>
    <w:p w14:paraId="1BFD1ADE">
      <w:pPr>
        <w:pStyle w:val="7"/>
        <w:keepNext w:val="0"/>
        <w:keepLines w:val="0"/>
        <w:pageBreakBefore w:val="0"/>
        <w:widowControl/>
        <w:numPr>
          <w:ilvl w:val="0"/>
          <w:numId w:val="0"/>
        </w:numPr>
        <w:kinsoku/>
        <w:wordWrap w:val="0"/>
        <w:overflowPunct/>
        <w:topLinePunct w:val="0"/>
        <w:autoSpaceDE/>
        <w:autoSpaceDN/>
        <w:bidi w:val="0"/>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highlight w:val="none"/>
          <w:lang w:val="en-US" w:eastAsia="zh-CN"/>
        </w:rPr>
        <w:t>17.</w:t>
      </w:r>
      <w:r>
        <w:rPr>
          <w:rFonts w:hint="eastAsia" w:ascii="仿宋" w:hAnsi="仿宋" w:eastAsia="仿宋" w:cs="仿宋"/>
          <w:sz w:val="30"/>
          <w:szCs w:val="30"/>
          <w:lang w:val="en-US" w:eastAsia="zh-CN"/>
        </w:rPr>
        <w:t>乙方负责派有经验的技术人员进行安装指导，同时对甲方操作维护人员进行的技术培训，培训资料由乙方提供。对风机的启停操作、运行检查、点检维护检修须出具书面材料进行培训。</w:t>
      </w:r>
    </w:p>
    <w:p w14:paraId="5EAA87EE">
      <w:pPr>
        <w:pStyle w:val="7"/>
        <w:keepNext w:val="0"/>
        <w:keepLines w:val="0"/>
        <w:pageBreakBefore w:val="0"/>
        <w:widowControl/>
        <w:kinsoku/>
        <w:wordWrap w:val="0"/>
        <w:overflowPunct/>
        <w:topLinePunct w:val="0"/>
        <w:autoSpaceDE/>
        <w:autoSpaceDN/>
        <w:bidi w:val="0"/>
        <w:adjustRightInd w:val="0"/>
        <w:snapToGrid w:val="0"/>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18.产品质保期为12个月，从设备功能考核合格之日算起，质保期内的产品质量问题，乙方免费维修、更换，由于乙方供货设备的质量问题而造成的故障或设备停运，乙方应免费负责5个工作日内更换有缺陷或损坏的部件，设备的质保期将延长，延长时间为设备重新恢复后12个月。</w:t>
      </w:r>
    </w:p>
    <w:p w14:paraId="50A8F2C3">
      <w:pPr>
        <w:pStyle w:val="7"/>
        <w:keepNext w:val="0"/>
        <w:keepLines w:val="0"/>
        <w:pageBreakBefore w:val="0"/>
        <w:widowControl/>
        <w:kinsoku/>
        <w:wordWrap w:val="0"/>
        <w:overflowPunct/>
        <w:topLinePunct w:val="0"/>
        <w:autoSpaceDE/>
        <w:autoSpaceDN/>
        <w:bidi w:val="0"/>
        <w:adjustRightInd w:val="0"/>
        <w:snapToGrid w:val="0"/>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19.乙方应提供设备检验合格证及完整的设备安装、调试维护使用的必要的技术资料和图纸。</w:t>
      </w:r>
    </w:p>
    <w:p w14:paraId="6195C1A8">
      <w:pPr>
        <w:pStyle w:val="7"/>
        <w:keepNext w:val="0"/>
        <w:keepLines w:val="0"/>
        <w:pageBreakBefore w:val="0"/>
        <w:widowControl/>
        <w:kinsoku/>
        <w:wordWrap w:val="0"/>
        <w:overflowPunct/>
        <w:topLinePunct w:val="0"/>
        <w:autoSpaceDE/>
        <w:autoSpaceDN/>
        <w:bidi w:val="0"/>
        <w:adjustRightInd w:val="0"/>
        <w:snapToGrid w:val="0"/>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20.出现设备质量问题、到货及安装拖期问题，按照合同违约条款执行。</w:t>
      </w:r>
    </w:p>
    <w:p w14:paraId="15B49DC6">
      <w:pPr>
        <w:pStyle w:val="7"/>
        <w:keepNext w:val="0"/>
        <w:keepLines w:val="0"/>
        <w:pageBreakBefore w:val="0"/>
        <w:widowControl/>
        <w:kinsoku/>
        <w:wordWrap w:val="0"/>
        <w:overflowPunct/>
        <w:topLinePunct w:val="0"/>
        <w:autoSpaceDE/>
        <w:autoSpaceDN/>
        <w:bidi w:val="0"/>
        <w:adjustRightInd w:val="0"/>
        <w:snapToGrid w:val="0"/>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21.如运行过程中出现问题，经第三方检定为不符合相关技术要求，按照合同违约条款执行。</w:t>
      </w:r>
    </w:p>
    <w:p w14:paraId="17EB0CC6">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五、提供资料</w:t>
      </w:r>
    </w:p>
    <w:p w14:paraId="721B3780">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1.乙方需提供设备准确的电子版及纸质版如下资料提供给甲方：</w:t>
      </w:r>
    </w:p>
    <w:p w14:paraId="4FFDB229">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1.1 外购件明细表</w:t>
      </w:r>
    </w:p>
    <w:p w14:paraId="29A0F34D">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1.2 备件明细表</w:t>
      </w:r>
    </w:p>
    <w:p w14:paraId="2A671319">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1.3 各部分总图、装配图及零件图</w:t>
      </w:r>
    </w:p>
    <w:p w14:paraId="322D4EC4">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2.电动机出厂必须具有出厂检验报告、合格证、产品参数、使用说明书等相关资料，并随货交付甲方；所提供的技术资料须加盖图章，要求资料内容全面，数字准确；</w:t>
      </w:r>
    </w:p>
    <w:p w14:paraId="0A86D2D8">
      <w:pPr>
        <w:pStyle w:val="7"/>
        <w:keepNext w:val="0"/>
        <w:keepLines w:val="0"/>
        <w:pageBreakBefore w:val="0"/>
        <w:widowControl/>
        <w:kinsoku/>
        <w:wordWrap w:val="0"/>
        <w:overflowPunct/>
        <w:topLinePunct w:val="0"/>
        <w:autoSpaceDE/>
        <w:autoSpaceDN/>
        <w:bidi w:val="0"/>
        <w:adjustRightInd w:val="0"/>
        <w:snapToGrid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3.提供出厂最终资料</w:t>
      </w:r>
    </w:p>
    <w:p w14:paraId="4E8AE6A3">
      <w:pPr>
        <w:pStyle w:val="7"/>
        <w:keepNext w:val="0"/>
        <w:keepLines w:val="0"/>
        <w:pageBreakBefore w:val="0"/>
        <w:widowControl/>
        <w:kinsoku/>
        <w:wordWrap w:val="0"/>
        <w:overflowPunct/>
        <w:topLinePunct w:val="0"/>
        <w:autoSpaceDE/>
        <w:autoSpaceDN/>
        <w:bidi w:val="0"/>
        <w:spacing w:line="600" w:lineRule="exac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六、交货时间及地点</w:t>
      </w:r>
    </w:p>
    <w:p w14:paraId="042391FC">
      <w:pPr>
        <w:pStyle w:val="7"/>
        <w:keepNext w:val="0"/>
        <w:keepLines w:val="0"/>
        <w:pageBreakBefore w:val="0"/>
        <w:widowControl/>
        <w:kinsoku/>
        <w:wordWrap w:val="0"/>
        <w:overflowPunct/>
        <w:topLinePunct w:val="0"/>
        <w:autoSpaceDE/>
        <w:autoSpaceDN/>
        <w:bidi w:val="0"/>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1.交货时间：以合同规定日期为准</w:t>
      </w:r>
    </w:p>
    <w:p w14:paraId="30B8A607">
      <w:pPr>
        <w:pStyle w:val="7"/>
        <w:keepNext w:val="0"/>
        <w:keepLines w:val="0"/>
        <w:pageBreakBefore w:val="0"/>
        <w:widowControl/>
        <w:kinsoku/>
        <w:wordWrap w:val="0"/>
        <w:overflowPunct/>
        <w:topLinePunct w:val="0"/>
        <w:autoSpaceDE/>
        <w:autoSpaceDN/>
        <w:bidi w:val="0"/>
        <w:spacing w:line="600" w:lineRule="exact"/>
        <w:textAlignment w:val="auto"/>
        <w:rPr>
          <w:rFonts w:hint="default" w:ascii="仿宋" w:hAnsi="仿宋" w:eastAsia="仿宋" w:cs="仿宋"/>
          <w:sz w:val="28"/>
          <w:szCs w:val="28"/>
          <w:lang w:val="en-US" w:eastAsia="zh-CN"/>
        </w:rPr>
      </w:pPr>
      <w:r>
        <w:rPr>
          <w:rFonts w:hint="eastAsia" w:ascii="仿宋" w:hAnsi="仿宋" w:eastAsia="仿宋" w:cs="仿宋"/>
          <w:sz w:val="30"/>
          <w:szCs w:val="30"/>
          <w:lang w:val="en-US" w:eastAsia="zh-CN"/>
        </w:rPr>
        <w:t>2.交货地点：酒钢厂区施工现场</w:t>
      </w:r>
    </w:p>
    <w:p w14:paraId="16E19016">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七.其它</w:t>
      </w:r>
    </w:p>
    <w:p w14:paraId="3408597A">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1.本规格书内容经由甲乙双方于</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年</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月</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日</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时至</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时通过</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方式商定。</w:t>
      </w:r>
    </w:p>
    <w:p w14:paraId="640BE1B9">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2.甲乙双方应当就签订本规格书的相关事宜保密，不得将签订主体、时间、内容等信息透露给其他第三人。</w:t>
      </w:r>
    </w:p>
    <w:p w14:paraId="3A9F05BF">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 若</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单位不中标，本技术规格书自动失效，双方互不承担任何责任。</w:t>
      </w:r>
    </w:p>
    <w:p w14:paraId="4AF3000B">
      <w:pPr>
        <w:pStyle w:val="4"/>
        <w:keepNext w:val="0"/>
        <w:keepLines w:val="0"/>
        <w:pageBreakBefore w:val="0"/>
        <w:kinsoku/>
        <w:wordWrap/>
        <w:overflowPunct/>
        <w:topLinePunct w:val="0"/>
        <w:autoSpaceDE/>
        <w:autoSpaceDN/>
        <w:bidi w:val="0"/>
        <w:adjustRightInd/>
        <w:snapToGrid/>
        <w:spacing w:before="10" w:beforeAutospacing="0" w:after="10" w:afterAutospacing="0" w:line="360" w:lineRule="auto"/>
        <w:ind w:left="0" w:leftChars="0" w:firstLine="560" w:firstLineChars="200"/>
        <w:textAlignment w:val="auto"/>
        <w:rPr>
          <w:rFonts w:hint="eastAsia" w:ascii="仿宋_GB2312" w:hAnsi="仿宋_GB2312" w:eastAsia="仿宋_GB2312" w:cs="仿宋_GB2312"/>
          <w:b/>
          <w:bCs/>
          <w:color w:val="FF0000"/>
          <w:kern w:val="2"/>
          <w:sz w:val="28"/>
          <w:szCs w:val="28"/>
          <w:highlight w:val="none"/>
          <w:lang w:val="en-US" w:eastAsia="zh-CN"/>
        </w:rPr>
      </w:pPr>
      <w:r>
        <w:rPr>
          <w:rFonts w:hint="eastAsia" w:ascii="仿宋" w:hAnsi="仿宋" w:eastAsia="仿宋" w:cs="仿宋"/>
          <w:kern w:val="2"/>
          <w:sz w:val="28"/>
          <w:szCs w:val="28"/>
          <w:highlight w:val="none"/>
          <w:lang w:val="en-US" w:eastAsia="zh-CN" w:bidi="ar-SA"/>
        </w:rPr>
        <w:t>4本协议一式四份，甲方三份，乙方一份；其他未尽事宜，双方友好协商。</w:t>
      </w:r>
    </w:p>
    <w:p w14:paraId="1857E7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lang w:eastAsia="zh-CN"/>
        </w:rPr>
      </w:pPr>
      <w:r>
        <w:rPr>
          <w:rFonts w:hint="eastAsia" w:ascii="仿宋_GB2312" w:hAnsi="仿宋_GB2312" w:eastAsia="仿宋_GB2312" w:cs="仿宋_GB2312"/>
          <w:b w:val="0"/>
          <w:bCs w:val="0"/>
          <w:sz w:val="28"/>
          <w:szCs w:val="28"/>
          <w:highlight w:val="none"/>
        </w:rPr>
        <w:t xml:space="preserve">甲方：（合同专用章） </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乙方：（合同专用章）</w:t>
      </w:r>
    </w:p>
    <w:p w14:paraId="09D303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rPr>
        <w:t>甲方代表：</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乙方代表：</w:t>
      </w:r>
    </w:p>
    <w:p w14:paraId="7A3DA1EA">
      <w:pPr>
        <w:keepNext w:val="0"/>
        <w:keepLines w:val="0"/>
        <w:pageBreakBefore w:val="0"/>
        <w:widowControl w:val="0"/>
        <w:kinsoku/>
        <w:wordWrap/>
        <w:overflowPunct/>
        <w:topLinePunct w:val="0"/>
        <w:autoSpaceDE/>
        <w:autoSpaceDN/>
        <w:bidi w:val="0"/>
        <w:adjustRightInd/>
        <w:snapToGrid/>
        <w:ind w:firstLine="560" w:firstLineChars="200"/>
        <w:textAlignment w:val="auto"/>
        <w:rPr>
          <w:highlight w:val="none"/>
        </w:rPr>
      </w:pP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p>
    <w:p w14:paraId="6591B1A6"/>
    <w:p w14:paraId="3BFA5383"/>
    <w:p w14:paraId="65131406"/>
    <w:p w14:paraId="2FE54B8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36D78"/>
    <w:rsid w:val="3C7F2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hAnsi="Times New Roman"/>
      <w:sz w:val="24"/>
      <w:szCs w:val="24"/>
    </w:rPr>
  </w:style>
  <w:style w:type="paragraph" w:styleId="3">
    <w:name w:val="Plain Text"/>
    <w:basedOn w:val="1"/>
    <w:qFormat/>
    <w:uiPriority w:val="0"/>
    <w:pPr>
      <w:widowControl w:val="0"/>
      <w:jc w:val="both"/>
    </w:pPr>
    <w:rPr>
      <w:rFonts w:ascii="宋体" w:hAnsi="Courier New"/>
      <w:kern w:val="2"/>
      <w:sz w:val="21"/>
    </w:rPr>
  </w:style>
  <w:style w:type="paragraph" w:styleId="4">
    <w:name w:val="Body Text First Indent 2"/>
    <w:basedOn w:val="2"/>
    <w:qFormat/>
    <w:uiPriority w:val="0"/>
    <w:pPr>
      <w:spacing w:after="120" w:line="560" w:lineRule="exact"/>
      <w:ind w:left="420" w:leftChars="200" w:firstLine="420"/>
    </w:pPr>
    <w:rPr>
      <w:rFonts w:hAnsi="宋体"/>
      <w:sz w:val="28"/>
      <w:szCs w:val="22"/>
    </w:rPr>
  </w:style>
  <w:style w:type="paragraph" w:customStyle="1" w:styleId="7">
    <w:name w:val="样式 样式 行距: 1.5 倍行距 + 两端对齐 Char"/>
    <w:basedOn w:val="1"/>
    <w:autoRedefine/>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2026-05-12T01:54:52Z</dcterms:created>
  <dc:creator>guowei</dc:creator>
  <cp:lastModifiedBy>郭伟</cp:lastModifiedBy>
  <dcterms:modified xsi:type="dcterms:W3CDTF">2026-05-12T02:00:48Z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eyJoZGlkIjoiZjVjZDkwOTdiYWM4NGUzNWVhNzU5MzMzYTYxMmI3MjAiLCJ1c2VySWQiOiIxNjQ4MzMxMDk4In0=</vt:lpwstr>
  </property>
  <property fmtid="{D5CDD505-2E9C-101B-9397-08002B2CF9AE}" pid="4" name="ICV">
    <vt:lpwstr>039FED6DB2FE4A9DB77BBA7D4A593320_12</vt:lpwstr>
  </property>
</Properties>
</file>